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2885B">
      <w:pPr>
        <w:pageBreakBefore w:val="0"/>
        <w:widowControl w:val="0"/>
        <w:wordWrap/>
        <w:overflowPunct/>
        <w:topLinePunct w:val="0"/>
        <w:bidi w:val="0"/>
        <w:spacing w:before="47" w:line="219" w:lineRule="auto"/>
        <w:ind w:left="3805"/>
        <w:outlineLvl w:val="1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bookmarkStart w:id="0" w:name="_Toc20495"/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二、采购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要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求</w:t>
      </w:r>
      <w:bookmarkEnd w:id="0"/>
    </w:p>
    <w:p w14:paraId="3E87CEC4">
      <w:pPr>
        <w:pageBreakBefore w:val="0"/>
        <w:widowControl w:val="0"/>
        <w:wordWrap/>
        <w:overflowPunct/>
        <w:topLinePunct w:val="0"/>
        <w:bidi w:val="0"/>
        <w:spacing w:line="258" w:lineRule="auto"/>
        <w:rPr>
          <w:color w:val="auto"/>
          <w:highlight w:val="none"/>
        </w:rPr>
      </w:pPr>
    </w:p>
    <w:p w14:paraId="1675E007">
      <w:pPr>
        <w:pageBreakBefore w:val="0"/>
        <w:widowControl w:val="0"/>
        <w:wordWrap/>
        <w:overflowPunct/>
        <w:topLinePunct w:val="0"/>
        <w:bidi w:val="0"/>
        <w:spacing w:line="258" w:lineRule="auto"/>
        <w:rPr>
          <w:color w:val="auto"/>
          <w:highlight w:val="none"/>
        </w:rPr>
      </w:pPr>
    </w:p>
    <w:p w14:paraId="3A018BD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5"/>
          <w:sz w:val="32"/>
          <w:szCs w:val="32"/>
          <w:highlight w:val="none"/>
        </w:rPr>
        <w:t>（一）</w:t>
      </w:r>
      <w:r>
        <w:rPr>
          <w:rFonts w:ascii="宋体" w:hAnsi="宋体" w:eastAsia="宋体" w:cs="宋体"/>
          <w:color w:val="auto"/>
          <w:spacing w:val="25"/>
          <w:sz w:val="32"/>
          <w:szCs w:val="32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32"/>
          <w:szCs w:val="32"/>
          <w:highlight w:val="none"/>
        </w:rPr>
        <w:t>技术需求</w:t>
      </w:r>
    </w:p>
    <w:p w14:paraId="35DBFBF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eastAsia="zh-CN"/>
        </w:rPr>
        <w:t xml:space="preserve">项目名称：艾滋病抗病毒检测设备 </w:t>
      </w:r>
    </w:p>
    <w:p w14:paraId="022EA9A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eastAsia="zh-CN"/>
        </w:rPr>
        <w:t>设备名称及数量：医用荧光定量PCR仪一套，流式细胞仪一台</w:t>
      </w:r>
    </w:p>
    <w:p w14:paraId="12D5043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eastAsia="zh-CN"/>
        </w:rPr>
        <w:t>预算总价：750000元</w:t>
      </w:r>
    </w:p>
    <w:p w14:paraId="3C1E52E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医用荧光定量PCR仪技术参数要求：</w:t>
      </w:r>
    </w:p>
    <w:p w14:paraId="229A9F6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 xml:space="preserve">产品用途：仪器在密闭的工作舱内全自动高通量完成样本开盖分样、核酸提取、PCR体系构建。 </w:t>
      </w:r>
    </w:p>
    <w:p w14:paraId="68E8A3A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结构组成：开盖分杯系统和核酸提取系统内置于1台设备，1个工作舱内，非分体式构造，系统更稳定。</w:t>
      </w:r>
    </w:p>
    <w:p w14:paraId="7AF0017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兼容性强：同一平台兼容96孔板、48孔板2种试验载体；实现不同体积样本的磁珠法、一步法技术提取。</w:t>
      </w:r>
    </w:p>
    <w:p w14:paraId="36F6358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吸磁工作模式：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采用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下吸附磁珠的工作模式（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非磁棒式上吸附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），防止污染。</w:t>
      </w:r>
    </w:p>
    <w:p w14:paraId="02EBCA0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提取通量：可同时对1-96个样本进行核酸提取。</w:t>
      </w:r>
    </w:p>
    <w:p w14:paraId="7138654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6.加样通道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：≥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个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移液通道，一次性可实现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≥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个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样本转移的移液需求。</w:t>
      </w:r>
    </w:p>
    <w:p w14:paraId="18B4FB8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7.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开盖通道：≥4通道抓手机械臂，可同时抓取4支样本管，同时对4支样本开盖或关盖。</w:t>
      </w:r>
    </w:p>
    <w:p w14:paraId="6FD16C7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8.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条码扫描：载入样本试管架时，自动扫描标本条码，支持Code39、Code128码、UPC-A、EAN/UPC、Codabar、EAN 128码、Code 93码、2/5隔行扫描码等多种格式扫码。</w:t>
      </w:r>
    </w:p>
    <w:p w14:paraId="2F9B857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9.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加样范围：5ul～1000ul。</w:t>
      </w:r>
    </w:p>
    <w:p w14:paraId="24B9C4D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10.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开盖分样速度：≤13分钟内完成96个样本的自动开盖；</w:t>
      </w:r>
    </w:p>
    <w:p w14:paraId="6A65B86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11.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枪头规格：兼容200ul和1000ul一次性枪头。</w:t>
      </w:r>
    </w:p>
    <w:p w14:paraId="09F66F5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12.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液面探测功能：每个加样通道均具备电容感应和压力感应式双重液面探测功能，具有凝块探测、液量检测的报警功能。</w:t>
      </w:r>
    </w:p>
    <w:p w14:paraId="77D03E2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13.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试管兼容性：兼容10合1、单人份病毒采样管（带盖/已去盖）、普通采血试管（带盖/已去盖）、EP管（子弹头）；兼容未开盖样本管上机自动开盖分样；和线下已开盖后的样本管上机，仪器从管内直接吸取样本。</w:t>
      </w:r>
    </w:p>
    <w:p w14:paraId="7E5AA78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 xml:space="preserve">14. 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2个振荡加热模块：一个96孔板振荡加热模块，一个48孔板振荡加热模块。都兼具水平圆周式振荡混匀和加热的功能。</w:t>
      </w:r>
    </w:p>
    <w:p w14:paraId="6A614B8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15.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振荡速度：100-1400r/min可调；可程序设置正、反转振荡。</w:t>
      </w:r>
    </w:p>
    <w:p w14:paraId="2F71596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16.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加热温度：金属浴加热，以金属导热架插入深孔板各孔外壁间隙，紧贴导热；</w:t>
      </w:r>
    </w:p>
    <w:p w14:paraId="3CE7370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17.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温度范围：室温-</w:t>
      </w:r>
      <w:r>
        <w:rPr>
          <w:color w:val="auto"/>
          <w:sz w:val="24"/>
          <w:szCs w:val="24"/>
          <w:highlight w:val="none"/>
          <w:lang w:eastAsia="zh-CN"/>
        </w:rPr>
        <w:t>120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℃。</w:t>
      </w:r>
    </w:p>
    <w:p w14:paraId="1A974B6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18.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磁棒高斯强度≥</w:t>
      </w:r>
      <w:r>
        <w:rPr>
          <w:color w:val="auto"/>
          <w:sz w:val="24"/>
          <w:szCs w:val="24"/>
          <w:highlight w:val="none"/>
          <w:lang w:eastAsia="zh-CN"/>
        </w:rPr>
        <w:t>4500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。</w:t>
      </w:r>
    </w:p>
    <w:p w14:paraId="788FD4C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19.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试剂位：≥24个原始试剂瓶位（5ml的EP管/冻存管位），≥5个100ml通用试剂位。</w:t>
      </w:r>
    </w:p>
    <w:p w14:paraId="2AC8C9D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20.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PCR板位：≥2个PCR板位；配置2个96孔金属的PCR八联管载架，载架内置橡胶孔垫，防止八联管翘曲。</w:t>
      </w:r>
    </w:p>
    <w:p w14:paraId="57908F7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21.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运行环境：全中文操作软件，能在Windows 7及Windows 10操作系统运行；程序编制、系统参数设置均采用向导式设计，易懂、易学、易操作，满足用户需求。</w:t>
      </w:r>
    </w:p>
    <w:p w14:paraId="3E71D94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22.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数据连接：能自动将核酸提取的条码及孔位关联信息上传Lis或PCR后处理系统。</w:t>
      </w:r>
    </w:p>
    <w:p w14:paraId="6C9BD64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23.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统一提取：内置统一提取功能，即一次性提取多种核酸，分配产物到多个反应管，根据检测项目自动对反应管分配对应PCR-mix液。</w:t>
      </w:r>
    </w:p>
    <w:p w14:paraId="60207DB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该设备可以匹配试剂项目：HIV-1RNA定量，提供试剂注册证及说明书</w:t>
      </w:r>
    </w:p>
    <w:p w14:paraId="30F7849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.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配套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设施：双人生物安全柜1台、高速离心机1台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(</w:t>
      </w:r>
      <w:r>
        <w:rPr>
          <w:rFonts w:hint="default"/>
          <w:color w:val="auto"/>
          <w:sz w:val="24"/>
          <w:szCs w:val="24"/>
          <w:highlight w:val="none"/>
          <w:lang w:val="en-US" w:eastAsia="zh-CN"/>
        </w:rPr>
        <w:t>≥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24孔）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、低温冰箱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[</w:t>
      </w:r>
      <w:r>
        <w:rPr>
          <w:rFonts w:hint="default"/>
          <w:color w:val="auto"/>
          <w:sz w:val="24"/>
          <w:szCs w:val="24"/>
          <w:highlight w:val="none"/>
          <w:lang w:eastAsia="zh-CN"/>
        </w:rPr>
        <w:t>≥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270L(-40℃)]2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台。</w:t>
      </w:r>
    </w:p>
    <w:p w14:paraId="1368516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</w:p>
    <w:p w14:paraId="4C209C8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二、流式细胞仪参数要求：</w:t>
      </w:r>
    </w:p>
    <w:p w14:paraId="52E29D3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光学系统：</w:t>
      </w:r>
    </w:p>
    <w:p w14:paraId="12CC5CC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1.1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激光器配置：蓝色激光（激光波长范围488nm±5nm）、红色激光 （激光波长范围635nm±5nm)</w:t>
      </w:r>
    </w:p>
    <w:p w14:paraId="2FC991C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1.2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双散射光检测器：前向和侧向；</w:t>
      </w:r>
    </w:p>
    <w:p w14:paraId="0ECC2DC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1.3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荧光通道配置：各荧光通道均配置独立的检测器，且荧光检测器数量≥6个；</w:t>
      </w:r>
    </w:p>
    <w:p w14:paraId="089599F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1.4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 xml:space="preserve">荧光检测灵敏度：FITC≤50MESF，PE≤30 MESF，APC≤30 MESF； </w:t>
      </w:r>
    </w:p>
    <w:p w14:paraId="3C59D07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1.5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仪器分辨率：前向散射光、FITC通道和PE通道≤2%，APC及其余通道≤4%；</w:t>
      </w:r>
    </w:p>
    <w:p w14:paraId="2BDF602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 xml:space="preserve">1.6 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升级能力：支持原机升级至最高十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个荧光检测通道；</w:t>
      </w:r>
    </w:p>
    <w:p w14:paraId="5BFC6DB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液路系统：</w:t>
      </w:r>
    </w:p>
    <w:p w14:paraId="0B97B81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2.1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分析速度：≥3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000 粒子/秒；</w:t>
      </w:r>
    </w:p>
    <w:p w14:paraId="67AD711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2.2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携带污染率：≤ 0.1%；</w:t>
      </w:r>
    </w:p>
    <w:p w14:paraId="7BE0906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2.3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进样方式：采用非注射泵或柱塞泵进样方式，以满足快速连续的进样要求；</w:t>
      </w:r>
    </w:p>
    <w:p w14:paraId="75E4D6C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2.4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液流速度：可根据样本类型进行流速调节；</w:t>
      </w:r>
    </w:p>
    <w:p w14:paraId="7A9B36E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2.5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支持试管类型：12×75mm试管、1.5ml或2ml EP管；</w:t>
      </w:r>
    </w:p>
    <w:p w14:paraId="4B14AEF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2.6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 xml:space="preserve">具备绝对计数功能：采用精确的体积法测量原理，同时可兼容微球法； </w:t>
      </w:r>
    </w:p>
    <w:p w14:paraId="5E22A3F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2.7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试剂余量监测：对鞘液、废液量连续实时检测，及时提示用户处理，支持废液直排系统；</w:t>
      </w:r>
    </w:p>
    <w:p w14:paraId="799BBD3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分析软件：</w:t>
      </w:r>
    </w:p>
    <w:p w14:paraId="344732A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3.1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数据功能：实现所有流式数据（包括信号的高度、宽度和面积信息等）的采集和分析，并且支持线性、对数坐标的变换；</w:t>
      </w:r>
    </w:p>
    <w:p w14:paraId="41DDA22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 xml:space="preserve">3.2 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LIS连接：配置双向LIS连接；</w:t>
      </w:r>
    </w:p>
    <w:p w14:paraId="1AB138A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3.3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电压调节：可以根据样本特点对电压进行调节；</w:t>
      </w:r>
    </w:p>
    <w:p w14:paraId="4D0A15E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3.4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信号阈值：支持阈值设定，最大限度减少无关信号对于结果的干扰；</w:t>
      </w:r>
    </w:p>
    <w:p w14:paraId="752C930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3.5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荧光补偿：全矩阵荧光信号补偿系统，软件可进行实时补偿、离线补偿和自动补偿；</w:t>
      </w:r>
    </w:p>
    <w:p w14:paraId="78D7E19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3.6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软件集成自动算法，可自动分析及审核淋巴细胞亚群项目结果；</w:t>
      </w:r>
    </w:p>
    <w:p w14:paraId="75DE3AB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医疗器械资质：如果响应产品中有属于医疗器械的产品，供应商须符合《医疗器械监督管理条例》要求并提供医疗器械生产（经营）许可证或医疗器械经营备案凭证，所投医疗器械须符合《医疗器械注册管理办法（2014年最新）》要求并提供中华人民共和国医疗器械注册证（一类医疗器械可提供备案凭证）;</w:t>
      </w:r>
    </w:p>
    <w:p w14:paraId="720F594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配套临床试剂：可提供取得中华人民共和国医疗器械注册证的CD3/CD4/CD8/CD45检测试剂、CD3/CD56/CD19/CD45检测试剂或CD3/CD16+56/CD45/CD19、HLA-B27等配套试剂；</w:t>
      </w:r>
    </w:p>
    <w:p w14:paraId="3A5AA07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自动进样器规格：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40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管或以上圆盘式进样；</w:t>
      </w:r>
    </w:p>
    <w:p w14:paraId="3A84513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C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2025-01-16T01:45:28Z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eyJoZGlkIjoiMTA2ZDA4NzZlZjk2NTcyNmM1NGFmZmJmN2YyZTM5MTQifQ==</vt:lpwstr>
  </property>
  <property fmtid="{D5CDD505-2E9C-101B-9397-08002B2CF9AE}" pid="4" name="ICV">
    <vt:lpwstr>2A343B9683624CB994BDBE5539CE0E58_12</vt:lpwstr>
  </property>
</Properties>
</file>